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6E3670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4F4DAB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  <w:bookmarkStart w:id="0" w:name="_GoBack"/>
      <w:bookmarkEnd w:id="0"/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9D1BCD">
        <w:trPr>
          <w:trHeight w:val="549"/>
        </w:trPr>
        <w:tc>
          <w:tcPr>
            <w:tcW w:w="10344" w:type="dxa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126596">
        <w:rPr>
          <w:rFonts w:ascii="Calibri" w:hAnsi="Calibri"/>
          <w:bCs/>
        </w:rPr>
        <w:t xml:space="preserve"> scientifico-tecnologico</w:t>
      </w:r>
      <w:r w:rsidR="00041DE6" w:rsidRPr="002E729F">
        <w:rPr>
          <w:rFonts w:ascii="Calibri" w:hAnsi="Calibri"/>
          <w:bCs/>
        </w:rPr>
        <w:t xml:space="preserve"> (</w:t>
      </w:r>
      <w:r w:rsidR="00126596">
        <w:rPr>
          <w:rFonts w:ascii="Calibri" w:hAnsi="Calibri"/>
          <w:bCs/>
        </w:rPr>
        <w:t>I biennio</w:t>
      </w:r>
      <w:r w:rsidR="00041DE6" w:rsidRPr="002E729F">
        <w:rPr>
          <w:rFonts w:ascii="Calibri" w:hAnsi="Calibri"/>
          <w:bCs/>
        </w:rPr>
        <w:t>)</w:t>
      </w:r>
    </w:p>
    <w:p w:rsidR="00126596" w:rsidRPr="002E729F" w:rsidRDefault="00126596" w:rsidP="001B7FBD">
      <w:pPr>
        <w:rPr>
          <w:rFonts w:ascii="Calibri" w:hAnsi="Calibri"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31"/>
        <w:gridCol w:w="931"/>
        <w:gridCol w:w="4256"/>
        <w:gridCol w:w="4256"/>
      </w:tblGrid>
      <w:tr w:rsidR="00EB7C82" w:rsidRPr="00204C7D" w:rsidTr="00EB7C82">
        <w:trPr>
          <w:cantSplit/>
          <w:trHeight w:val="20"/>
          <w:tblHeader/>
          <w:jc w:val="center"/>
        </w:trPr>
        <w:tc>
          <w:tcPr>
            <w:tcW w:w="660" w:type="dxa"/>
            <w:shd w:val="clear" w:color="auto" w:fill="F2F2F2"/>
            <w:vAlign w:val="center"/>
          </w:tcPr>
          <w:p w:rsidR="00EB7C82" w:rsidRPr="00123A50" w:rsidRDefault="00EB7C82" w:rsidP="00123A50">
            <w:pPr>
              <w:spacing w:line="276" w:lineRule="auto"/>
              <w:ind w:left="34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shd w:val="clear" w:color="auto" w:fill="F2F2F2"/>
            <w:vAlign w:val="center"/>
          </w:tcPr>
          <w:p w:rsidR="00EB7C82" w:rsidRPr="00123A50" w:rsidRDefault="00EB7C82" w:rsidP="00123A50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3018" w:type="dxa"/>
            <w:shd w:val="clear" w:color="auto" w:fill="F2F2F2"/>
            <w:vAlign w:val="center"/>
          </w:tcPr>
          <w:p w:rsidR="00EB7C82" w:rsidRPr="00123A50" w:rsidRDefault="00EB7C82" w:rsidP="00123A50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23A50">
              <w:rPr>
                <w:rFonts w:ascii="Calibri" w:eastAsia="Calibri" w:hAnsi="Calibri"/>
                <w:sz w:val="20"/>
                <w:szCs w:val="20"/>
                <w:lang w:eastAsia="en-US"/>
              </w:rPr>
              <w:t>competenze*</w:t>
            </w:r>
          </w:p>
        </w:tc>
        <w:tc>
          <w:tcPr>
            <w:tcW w:w="3018" w:type="dxa"/>
            <w:shd w:val="clear" w:color="auto" w:fill="F2F2F2"/>
            <w:vAlign w:val="center"/>
          </w:tcPr>
          <w:p w:rsidR="00EB7C82" w:rsidRPr="00123A50" w:rsidRDefault="00EB7C82" w:rsidP="00123A50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23A50">
              <w:rPr>
                <w:rFonts w:ascii="Calibri" w:eastAsia="Calibri" w:hAnsi="Calibri"/>
                <w:sz w:val="20"/>
                <w:szCs w:val="20"/>
                <w:lang w:eastAsia="en-US"/>
              </w:rPr>
              <w:t>abilità*</w:t>
            </w:r>
          </w:p>
        </w:tc>
      </w:tr>
      <w:tr w:rsidR="00EB7C82" w:rsidRPr="00204C7D" w:rsidTr="00EB7C82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60" w:type="dxa"/>
            <w:vMerge w:val="restart"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217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Osservare, descrivere e analizzare fenomeni appartenenti alla realtà naturale e artificiale e riconoscere nelle sue varie forme i concetti di sistema e di complessità.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Acquisire un metodo di studio e di lavoro adatto allo studio di discipline sperimentali od operative 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Applicare il metodo scientifico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Saper leggere le immagini, formulare ipotesi, interpretare grafici e tabelle e imparare a costruirli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Saper utilizzare modelli appropriati per interpretare i fenomeni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Utilizzare il linguaggio grafico/geometrico per imparare a comprendere l’ambiente fisico in cui si vive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Organizzare il proprio tempo di lavoro e il tempo libero per imparare ad utilizzare conoscenze e abilità motorie</w:t>
            </w:r>
          </w:p>
        </w:tc>
      </w:tr>
      <w:tr w:rsidR="00EB7C82" w:rsidRPr="00204C7D" w:rsidTr="00EB7C82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60" w:type="dxa"/>
            <w:vMerge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Analizzare qualitativamente e quantitativamente fenomeni legati alle trasformazioni di energia a partire dall’esperienza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Adottare semplici strategie per la risoluzione di problemi pratici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Saper progettare semplici attività motorie e di laboratorio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Acquisire gli elementi basilari del disegno grafico/geometrico come linguaggio e strumento di conoscenza che si sviluppa nella capacità di vedere lo spazio </w:t>
            </w:r>
          </w:p>
        </w:tc>
      </w:tr>
      <w:tr w:rsidR="00EB7C82" w:rsidRPr="00204C7D" w:rsidTr="00EB7C82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60" w:type="dxa"/>
            <w:vMerge w:val="restart"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lastRenderedPageBreak/>
              <w:t>Relazione con gli altri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Osservare, descrivere e analizzare fenomeni appartenenti alla realtà naturale e artificiale e riconoscere nelle sue varie forme i concetti di sistema e di complessità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Osservare in modo critico le esperienze motorie e di laboratorio (anche virtuali) ed esporre dati e risultati in modo adeguato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Ricercare, raccogliere e selezionare informazioni e dati da varie fonti (testi, riviste scientifiche, siti web)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Progettare una comunicazione e utilizzare strumenti di presentazione multimediale per un semplice report di un lavoro svolto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Saper rappresentare fenomeni sportivi-motori, scientifici e architettonici mediante supporti cartacei, informatici e multimediali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Comunicare in modo semplice, chiaro ed ordinato osservazioni, idee e argomenti di ordine disciplinare e pratico attraverso il linguaggio specifico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Utilizzare le diverse modalità comunicative scritte e orali (descrizione, riassunto, relazione)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Passare dal linguaggio naturale al linguaggio simbolico/formale e viceversa</w:t>
            </w:r>
          </w:p>
        </w:tc>
      </w:tr>
      <w:tr w:rsidR="00EB7C82" w:rsidRPr="00204C7D" w:rsidTr="00EB7C82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60" w:type="dxa"/>
            <w:vMerge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193" w:hanging="142"/>
              <w:contextualSpacing/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  <w:t>Essere in grado di comprendere le esigenze di un lavoro di squadra, adeguando il proprio linguaggio e le proprie metodologie a quelle necessarie per il lavoro di gruppo</w:t>
            </w:r>
          </w:p>
          <w:p w:rsidR="00EB7C82" w:rsidRPr="00204C7D" w:rsidRDefault="00EB7C82" w:rsidP="00CA44A0">
            <w:pPr>
              <w:autoSpaceDE w:val="0"/>
              <w:autoSpaceDN w:val="0"/>
              <w:adjustRightInd w:val="0"/>
              <w:spacing w:after="60"/>
              <w:ind w:left="193" w:hanging="142"/>
              <w:contextualSpacing/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</w:pPr>
          </w:p>
          <w:p w:rsidR="00EB7C82" w:rsidRPr="00204C7D" w:rsidRDefault="00EB7C82" w:rsidP="00CA44A0">
            <w:pPr>
              <w:autoSpaceDE w:val="0"/>
              <w:autoSpaceDN w:val="0"/>
              <w:adjustRightInd w:val="0"/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193" w:hanging="142"/>
              <w:contextualSpacing/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  <w:t>Saper interagire con gli altri comprendendone i diversi punti di vista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193" w:hanging="142"/>
              <w:contextualSpacing/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  <w:t xml:space="preserve">Approfondire in gruppo temi di particolare interesse dal punto di vista sociale esprimendo ognuno la propria opinione e rispettando quella altrui 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193" w:hanging="142"/>
              <w:contextualSpacing/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  <w:t>Risoluzione di problemi in gruppo</w:t>
            </w:r>
          </w:p>
        </w:tc>
      </w:tr>
      <w:tr w:rsidR="00EB7C82" w:rsidRPr="00204C7D" w:rsidTr="00EB7C82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60" w:type="dxa"/>
            <w:vMerge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Analizzare qualitativamente e quantitativamente fenomeni legati alle trasformazioni di energia a partire dall’esperienza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Osservare, descrivere e analizzare fenomeni appartenenti alla realtà naturale e artificiale e riconoscere nelle sue varie forme i concetti di sistema e di complessità.</w:t>
            </w:r>
          </w:p>
          <w:p w:rsidR="00EB7C82" w:rsidRPr="00204C7D" w:rsidRDefault="00EB7C82" w:rsidP="00CA44A0">
            <w:p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Collegare le problematiche studiate con le loro implicazioni nella realtà quotidiana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Avere la consapevolezza dei possibili impatti sull’ambiente naturale dei modi di produzione e di utilizzazione dell’energia nell’ambito quotidiano.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Comprendere l’importanza delle risorse naturali nella vita quotidiana e considerarle quindi un bene prezioso da preservare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Riconoscere le condizioni di rischio di danno ambientale al fine di prevenirlo e adottare un comportamento responsabile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Eseguire indagini, ricerche e report utilizzando criticamente le tecnologie dell’informazione e della comunicazione 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Saper adottare i principi igienici e scientifici essenziali per mantenere il proprio stato di salute e migliorare l’efficienza fisica</w:t>
            </w:r>
          </w:p>
        </w:tc>
      </w:tr>
      <w:tr w:rsidR="00EB7C82" w:rsidRPr="00204C7D" w:rsidTr="00EB7C82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60" w:type="dxa"/>
            <w:vMerge w:val="restart"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lastRenderedPageBreak/>
              <w:t>Rapporto con la realtà naturale e sociale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Analizzare qualitativamente e quantitativamente fenomeni legati alle trasformazioni di energia a partire dall’esperienza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Essere consapevole delle potenzialità e dei limiti delle tecnologie nel contesto culturale e sociale in cui vengono applicate</w:t>
            </w:r>
          </w:p>
          <w:p w:rsidR="00EB7C82" w:rsidRPr="00204C7D" w:rsidRDefault="00EB7C82" w:rsidP="00CA44A0">
            <w:p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Riconoscere le modificazioni ambientali di origine antropica e interpretare le loro ricadute sul sistema Terra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Usare l’insieme delle conoscenze e delle metodologie possedute per spiegare fenomeni fisici della quotidianità 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Utilizzare leggi per eseguire previsioni sull’evoluzione di un semplice sistema fisico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Saper porre il problema e scegliere conoscenze e strumenti necessari alla sua soluzione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Percepire e interpretare le sensazioni relative al proprio corpo</w:t>
            </w:r>
          </w:p>
        </w:tc>
      </w:tr>
      <w:tr w:rsidR="00EB7C82" w:rsidRPr="00204C7D" w:rsidTr="00EB7C82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60" w:type="dxa"/>
            <w:vMerge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Osservare, descrivere e analizzare fenomeni appartenenti alla realtà naturale e artificiale e riconoscere nelle sue varie forme i concetti di sistema e di complessità.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Analizzare qualitativamente e quantitativamente fenomeni legati alle trasformazioni di energia a partire dall’esperienza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Saper rappresentare graficamente i concetti studiati attraverso tabelle, grafi, mappe concettuali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Analizzare le relazioni di causa ed effetto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Cogliere i principali meccanismi chimico-fisici che regolano le trasformazioni nei sistemi viventi e non viventi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Distinguere vari tipi di energia coinvolti in un fenomeno fisico e chimico e correlarli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Applicare le conoscenze acquisite a situazioni della vita reale per riconoscere l’importanza dello studio delle scienze nell’interpretazione della mondo reale 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Organizzare ed eseguire semplici attività sperimentali traendo conclusioni corrette basate sui risulta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t</w:t>
            </w: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i ottenuti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Formulare semplici ipotesi e previsioni sui sistemi fisici</w:t>
            </w:r>
          </w:p>
        </w:tc>
      </w:tr>
      <w:tr w:rsidR="00EB7C82" w:rsidRPr="00204C7D" w:rsidTr="00EB7C82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60" w:type="dxa"/>
            <w:vMerge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EB7C82" w:rsidRPr="00204C7D" w:rsidRDefault="00EB7C82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Acquisire e interpretare l’informazione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Analizzare qualitativamente e quantitativamente fenomeni legati alle trasformazioni di energia a partire dall’esperienza 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Essere consapevole delle potenzialità e dei limiti delle tecnologie nel contesto culturale e sociale in cui vengono applicate</w:t>
            </w:r>
          </w:p>
        </w:tc>
        <w:tc>
          <w:tcPr>
            <w:tcW w:w="3018" w:type="dxa"/>
            <w:shd w:val="clear" w:color="auto" w:fill="auto"/>
          </w:tcPr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Effettuare osservazioni in laboratorio o nell’ambito della vita quotidiana e attraverso testi o strumenti multimediali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Cogliere i principali meccanismi chimico-fisici che regolano le trasformazioni nei sistemi viventi e non viventi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Osservare e classificare le varie trasformazioni di energia, con particolare attenzione agli aspetti connessi con il risparmio energetico e le possibilità di riciclaggio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Tradurre graficamente dati raccolti o proposti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Comprendere il metodo utilizzato dagli scienziati per spiegare i fenomeni naturali e formulare previsioni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Acquisire la consapevolezza che una teoria scientifica viene formulata dopo essere stata sottoposta a verifiche e può essere confutata</w:t>
            </w:r>
          </w:p>
          <w:p w:rsidR="00EB7C82" w:rsidRPr="00204C7D" w:rsidRDefault="00EB7C82" w:rsidP="00CA44A0">
            <w:pPr>
              <w:numPr>
                <w:ilvl w:val="0"/>
                <w:numId w:val="15"/>
              </w:numPr>
              <w:spacing w:after="60"/>
              <w:ind w:left="193" w:hanging="14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04C7D">
              <w:rPr>
                <w:rFonts w:ascii="Calibri" w:eastAsia="Calibri" w:hAnsi="Calibri"/>
                <w:sz w:val="20"/>
                <w:szCs w:val="20"/>
                <w:lang w:eastAsia="en-US"/>
              </w:rPr>
              <w:t>Saper distinguere i fatti dalle opinioni</w:t>
            </w:r>
          </w:p>
        </w:tc>
      </w:tr>
    </w:tbl>
    <w:p w:rsidR="003043C9" w:rsidRPr="000113A6" w:rsidRDefault="003043C9" w:rsidP="001B7FBD">
      <w:pPr>
        <w:rPr>
          <w:rFonts w:ascii="Calibri" w:hAnsi="Calibri"/>
          <w:b/>
          <w:bCs/>
        </w:rPr>
      </w:pPr>
    </w:p>
    <w:p w:rsidR="005D28DE" w:rsidRPr="00651E9D" w:rsidRDefault="005D28DE" w:rsidP="005D28DE">
      <w:pPr>
        <w:numPr>
          <w:ilvl w:val="0"/>
          <w:numId w:val="14"/>
        </w:numPr>
        <w:ind w:left="142" w:hanging="142"/>
        <w:rPr>
          <w:rFonts w:ascii="Calibri" w:hAnsi="Calibri"/>
          <w:bCs/>
          <w:i/>
          <w:sz w:val="18"/>
          <w:szCs w:val="18"/>
        </w:rPr>
      </w:pPr>
      <w:r w:rsidRPr="00651E9D">
        <w:rPr>
          <w:rFonts w:ascii="Calibri" w:hAnsi="Calibri"/>
          <w:bCs/>
          <w:i/>
          <w:sz w:val="18"/>
          <w:szCs w:val="18"/>
        </w:rPr>
        <w:t>Ciascun docente in riferimento alla particolare disciplina e alla classe</w:t>
      </w:r>
      <w:r>
        <w:rPr>
          <w:rFonts w:ascii="Calibri" w:hAnsi="Calibri"/>
          <w:bCs/>
          <w:i/>
          <w:sz w:val="18"/>
          <w:szCs w:val="18"/>
        </w:rPr>
        <w:t xml:space="preserve"> di riferimento</w:t>
      </w:r>
      <w:r w:rsidRPr="00651E9D">
        <w:rPr>
          <w:rFonts w:ascii="Calibri" w:hAnsi="Calibri"/>
          <w:bCs/>
          <w:i/>
          <w:sz w:val="18"/>
          <w:szCs w:val="18"/>
        </w:rPr>
        <w:t xml:space="preserve"> elimina le competenze e le abilità ritenute non pertinenti.</w:t>
      </w:r>
    </w:p>
    <w:p w:rsidR="00C92659" w:rsidRPr="00651E9D" w:rsidRDefault="00C92659" w:rsidP="00C92659">
      <w:pPr>
        <w:rPr>
          <w:rFonts w:ascii="Calibri" w:hAnsi="Calibri"/>
          <w:bCs/>
          <w:i/>
          <w:sz w:val="18"/>
          <w:szCs w:val="18"/>
        </w:rPr>
      </w:pPr>
    </w:p>
    <w:p w:rsidR="00B7256F" w:rsidRDefault="000113A6" w:rsidP="00B7256F">
      <w:pPr>
        <w:rPr>
          <w:rFonts w:ascii="Calibri" w:hAnsi="Calibri" w:cs="Arial"/>
        </w:rPr>
      </w:pPr>
      <w:r>
        <w:rPr>
          <w:rFonts w:ascii="Calibri" w:hAnsi="Calibri"/>
          <w:bCs/>
          <w:sz w:val="20"/>
          <w:szCs w:val="20"/>
        </w:rPr>
        <w:br w:type="page"/>
      </w:r>
      <w:r w:rsidR="00B7256F">
        <w:rPr>
          <w:rFonts w:ascii="Calibri" w:hAnsi="Calibri" w:cs="Arial"/>
        </w:rPr>
        <w:lastRenderedPageBreak/>
        <w:t>Articolazione per unità di apprendimento</w:t>
      </w:r>
    </w:p>
    <w:p w:rsidR="00B7256F" w:rsidRDefault="00B7256F" w:rsidP="00B7256F">
      <w:pPr>
        <w:rPr>
          <w:rFonts w:ascii="Calibri" w:hAnsi="Calibri" w:cs="Arial"/>
          <w:b/>
        </w:rPr>
      </w:pPr>
    </w:p>
    <w:tbl>
      <w:tblPr>
        <w:tblW w:w="4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097"/>
        <w:gridCol w:w="3097"/>
        <w:gridCol w:w="857"/>
      </w:tblGrid>
      <w:tr w:rsidR="00B7256F" w:rsidTr="00B7256F">
        <w:trPr>
          <w:trHeight w:val="293"/>
          <w:tblHeader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7256F" w:rsidRDefault="00B7256F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7256F" w:rsidRDefault="00B7256F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7256F" w:rsidRDefault="00B7256F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obiettivi specifici di apprendimento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7256F" w:rsidRDefault="00B7256F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B7256F" w:rsidTr="00B7256F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 w:rsidP="00B7256F">
            <w:pPr>
              <w:numPr>
                <w:ilvl w:val="0"/>
                <w:numId w:val="16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56F" w:rsidRDefault="00B7256F" w:rsidP="00B7256F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 w:rsidP="00B7256F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7256F" w:rsidTr="00B7256F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 w:rsidP="00B7256F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56F" w:rsidRDefault="00B7256F" w:rsidP="00B7256F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 w:rsidP="00B7256F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7256F" w:rsidTr="00B7256F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 w:rsidP="00B7256F">
            <w:pPr>
              <w:numPr>
                <w:ilvl w:val="0"/>
                <w:numId w:val="16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56F" w:rsidRDefault="00B7256F" w:rsidP="00B7256F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 w:rsidP="00B7256F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7256F" w:rsidTr="00B7256F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 w:rsidP="00B7256F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56F" w:rsidRDefault="00B7256F" w:rsidP="00B7256F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 w:rsidP="00B7256F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7256F" w:rsidTr="00B7256F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 w:rsidP="00B7256F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56F" w:rsidRDefault="00B7256F" w:rsidP="00B7256F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 w:rsidP="00B7256F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7256F" w:rsidTr="00B7256F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 w:rsidP="00B7256F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56F" w:rsidRDefault="00B7256F" w:rsidP="00B7256F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 w:rsidP="00B7256F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7256F" w:rsidTr="00B7256F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 w:rsidP="00B7256F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56F" w:rsidRDefault="00B7256F" w:rsidP="00B7256F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 w:rsidP="00B7256F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7256F" w:rsidTr="00B7256F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 w:rsidP="00B7256F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56F" w:rsidRDefault="00B7256F" w:rsidP="00B7256F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 w:rsidP="00B7256F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7256F" w:rsidTr="00B7256F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 w:rsidP="00B7256F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56F" w:rsidRDefault="00B7256F" w:rsidP="00B7256F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 w:rsidP="00B7256F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7256F" w:rsidTr="00B7256F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 w:rsidP="00B7256F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56F" w:rsidRDefault="00B7256F" w:rsidP="00B7256F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 w:rsidP="00B7256F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6F" w:rsidRDefault="00B7256F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B7256F" w:rsidRDefault="00B7256F" w:rsidP="00B7256F">
      <w:pPr>
        <w:rPr>
          <w:rFonts w:ascii="Calibri" w:hAnsi="Calibri"/>
          <w:b/>
          <w:bCs/>
          <w:sz w:val="28"/>
        </w:rPr>
      </w:pPr>
    </w:p>
    <w:p w:rsidR="00B7256F" w:rsidRDefault="00B7256F" w:rsidP="00B7256F">
      <w:pPr>
        <w:jc w:val="center"/>
        <w:rPr>
          <w:rFonts w:ascii="Calibri" w:hAnsi="Calibri"/>
          <w:b/>
          <w:bCs/>
          <w:sz w:val="28"/>
        </w:rPr>
      </w:pPr>
    </w:p>
    <w:p w:rsidR="00B7256F" w:rsidRDefault="00B7256F" w:rsidP="00B7256F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B7256F" w:rsidRDefault="00B7256F" w:rsidP="00B7256F">
      <w:pPr>
        <w:tabs>
          <w:tab w:val="center" w:pos="6804"/>
        </w:tabs>
        <w:spacing w:before="24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B7256F" w:rsidRDefault="00B7256F" w:rsidP="00B7256F">
      <w:pPr>
        <w:ind w:left="360" w:right="2397"/>
        <w:rPr>
          <w:rFonts w:ascii="Calibri" w:hAnsi="Calibri"/>
          <w:b/>
        </w:rPr>
      </w:pPr>
    </w:p>
    <w:p w:rsidR="00731482" w:rsidRPr="00E82A8E" w:rsidRDefault="00731482" w:rsidP="00B7256F">
      <w:pPr>
        <w:rPr>
          <w:rFonts w:ascii="Calibri" w:hAnsi="Calibri"/>
          <w:b/>
          <w:bCs/>
          <w:sz w:val="22"/>
          <w:szCs w:val="22"/>
        </w:rPr>
      </w:pPr>
    </w:p>
    <w:sectPr w:rsidR="00731482" w:rsidRPr="00E82A8E" w:rsidSect="008D4332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7C2" w:rsidRDefault="001367C2">
      <w:r>
        <w:separator/>
      </w:r>
    </w:p>
  </w:endnote>
  <w:endnote w:type="continuationSeparator" w:id="0">
    <w:p w:rsidR="001367C2" w:rsidRDefault="0013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F4DA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7C2" w:rsidRDefault="001367C2">
      <w:r>
        <w:separator/>
      </w:r>
    </w:p>
  </w:footnote>
  <w:footnote w:type="continuationSeparator" w:id="0">
    <w:p w:rsidR="001367C2" w:rsidRDefault="00136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 w15:restartNumberingAfterBreak="0">
    <w:nsid w:val="70327F33"/>
    <w:multiLevelType w:val="hybridMultilevel"/>
    <w:tmpl w:val="52260ACA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C2D9B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14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13">
    <w:abstractNumId w:val="12"/>
  </w:num>
  <w:num w:numId="14">
    <w:abstractNumId w:val="9"/>
  </w:num>
  <w:num w:numId="15">
    <w:abstractNumId w:val="13"/>
  </w:num>
  <w:num w:numId="1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4082"/>
    <w:rsid w:val="00035B93"/>
    <w:rsid w:val="00041DE6"/>
    <w:rsid w:val="00046ACD"/>
    <w:rsid w:val="00066336"/>
    <w:rsid w:val="00075260"/>
    <w:rsid w:val="00080188"/>
    <w:rsid w:val="00081955"/>
    <w:rsid w:val="0008772D"/>
    <w:rsid w:val="00091D1F"/>
    <w:rsid w:val="000B0518"/>
    <w:rsid w:val="000B0844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23A50"/>
    <w:rsid w:val="00126596"/>
    <w:rsid w:val="0013431C"/>
    <w:rsid w:val="001367C2"/>
    <w:rsid w:val="001407BE"/>
    <w:rsid w:val="00155D16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204301"/>
    <w:rsid w:val="00204C7D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775BA"/>
    <w:rsid w:val="00284D3B"/>
    <w:rsid w:val="002918A1"/>
    <w:rsid w:val="00295ECF"/>
    <w:rsid w:val="002A1926"/>
    <w:rsid w:val="002B0E5F"/>
    <w:rsid w:val="002D5838"/>
    <w:rsid w:val="002D5E31"/>
    <w:rsid w:val="002E242E"/>
    <w:rsid w:val="002E729F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7274F"/>
    <w:rsid w:val="00374FAE"/>
    <w:rsid w:val="003800ED"/>
    <w:rsid w:val="00382BE1"/>
    <w:rsid w:val="00382CBF"/>
    <w:rsid w:val="00387C6D"/>
    <w:rsid w:val="00393723"/>
    <w:rsid w:val="003A262F"/>
    <w:rsid w:val="003B2241"/>
    <w:rsid w:val="003C0B75"/>
    <w:rsid w:val="003C4CE8"/>
    <w:rsid w:val="003D196A"/>
    <w:rsid w:val="003E55EF"/>
    <w:rsid w:val="003E6692"/>
    <w:rsid w:val="003F1FFC"/>
    <w:rsid w:val="003F5918"/>
    <w:rsid w:val="00420D88"/>
    <w:rsid w:val="00430D0C"/>
    <w:rsid w:val="00433603"/>
    <w:rsid w:val="00447ADD"/>
    <w:rsid w:val="0045326A"/>
    <w:rsid w:val="004622E7"/>
    <w:rsid w:val="00462CE7"/>
    <w:rsid w:val="0046549C"/>
    <w:rsid w:val="004703AD"/>
    <w:rsid w:val="00475771"/>
    <w:rsid w:val="004807C1"/>
    <w:rsid w:val="00480873"/>
    <w:rsid w:val="00481574"/>
    <w:rsid w:val="00484E38"/>
    <w:rsid w:val="0048558E"/>
    <w:rsid w:val="00486436"/>
    <w:rsid w:val="0049282A"/>
    <w:rsid w:val="004A6328"/>
    <w:rsid w:val="004B7150"/>
    <w:rsid w:val="004D1258"/>
    <w:rsid w:val="004E3A47"/>
    <w:rsid w:val="004F1271"/>
    <w:rsid w:val="004F4DAB"/>
    <w:rsid w:val="004F54A8"/>
    <w:rsid w:val="004F7A46"/>
    <w:rsid w:val="00502F77"/>
    <w:rsid w:val="00510A1C"/>
    <w:rsid w:val="00510B0E"/>
    <w:rsid w:val="005150B5"/>
    <w:rsid w:val="005224FF"/>
    <w:rsid w:val="00530EDA"/>
    <w:rsid w:val="00534F56"/>
    <w:rsid w:val="00551C55"/>
    <w:rsid w:val="00567E9C"/>
    <w:rsid w:val="005745D3"/>
    <w:rsid w:val="0057704B"/>
    <w:rsid w:val="00582627"/>
    <w:rsid w:val="00582BEC"/>
    <w:rsid w:val="005915EB"/>
    <w:rsid w:val="0059548F"/>
    <w:rsid w:val="005A228A"/>
    <w:rsid w:val="005A5296"/>
    <w:rsid w:val="005A751A"/>
    <w:rsid w:val="005B314F"/>
    <w:rsid w:val="005B62F8"/>
    <w:rsid w:val="005C38BE"/>
    <w:rsid w:val="005D28DE"/>
    <w:rsid w:val="005E321D"/>
    <w:rsid w:val="005F0900"/>
    <w:rsid w:val="005F344B"/>
    <w:rsid w:val="006123AC"/>
    <w:rsid w:val="00627866"/>
    <w:rsid w:val="00634960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B0409"/>
    <w:rsid w:val="006C6DBA"/>
    <w:rsid w:val="006D6839"/>
    <w:rsid w:val="006E1B63"/>
    <w:rsid w:val="006E3670"/>
    <w:rsid w:val="006E51BB"/>
    <w:rsid w:val="006F6DC8"/>
    <w:rsid w:val="00700F77"/>
    <w:rsid w:val="00703974"/>
    <w:rsid w:val="007100E1"/>
    <w:rsid w:val="0072731B"/>
    <w:rsid w:val="00731482"/>
    <w:rsid w:val="007445AB"/>
    <w:rsid w:val="00746BD9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4464"/>
    <w:rsid w:val="007D66D0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7418"/>
    <w:rsid w:val="00874FE5"/>
    <w:rsid w:val="00881D67"/>
    <w:rsid w:val="008843AB"/>
    <w:rsid w:val="00884983"/>
    <w:rsid w:val="008910E4"/>
    <w:rsid w:val="008A0D34"/>
    <w:rsid w:val="008D4332"/>
    <w:rsid w:val="008D4A5E"/>
    <w:rsid w:val="008D7B03"/>
    <w:rsid w:val="008E501C"/>
    <w:rsid w:val="00920253"/>
    <w:rsid w:val="009314F3"/>
    <w:rsid w:val="009361AC"/>
    <w:rsid w:val="00937C4B"/>
    <w:rsid w:val="009634F4"/>
    <w:rsid w:val="00964F5F"/>
    <w:rsid w:val="00976419"/>
    <w:rsid w:val="009945A2"/>
    <w:rsid w:val="009A550A"/>
    <w:rsid w:val="009B4C94"/>
    <w:rsid w:val="009B5A40"/>
    <w:rsid w:val="009C3AE3"/>
    <w:rsid w:val="009C5EFF"/>
    <w:rsid w:val="009D1BCD"/>
    <w:rsid w:val="009D1BF8"/>
    <w:rsid w:val="009E3752"/>
    <w:rsid w:val="009E550F"/>
    <w:rsid w:val="009F2B94"/>
    <w:rsid w:val="009F59B4"/>
    <w:rsid w:val="00A034A6"/>
    <w:rsid w:val="00A10A89"/>
    <w:rsid w:val="00A13875"/>
    <w:rsid w:val="00A176EA"/>
    <w:rsid w:val="00A319A8"/>
    <w:rsid w:val="00A53E87"/>
    <w:rsid w:val="00A54940"/>
    <w:rsid w:val="00A60C88"/>
    <w:rsid w:val="00A71E75"/>
    <w:rsid w:val="00A74719"/>
    <w:rsid w:val="00A95C65"/>
    <w:rsid w:val="00AA44DD"/>
    <w:rsid w:val="00AA76DE"/>
    <w:rsid w:val="00AB1768"/>
    <w:rsid w:val="00AB4910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40F68"/>
    <w:rsid w:val="00B50AEE"/>
    <w:rsid w:val="00B52D44"/>
    <w:rsid w:val="00B7039F"/>
    <w:rsid w:val="00B7256F"/>
    <w:rsid w:val="00B812C3"/>
    <w:rsid w:val="00B825EA"/>
    <w:rsid w:val="00B860FB"/>
    <w:rsid w:val="00B86B58"/>
    <w:rsid w:val="00B952B9"/>
    <w:rsid w:val="00B969BB"/>
    <w:rsid w:val="00B97B87"/>
    <w:rsid w:val="00BA51B2"/>
    <w:rsid w:val="00BA5848"/>
    <w:rsid w:val="00BE070F"/>
    <w:rsid w:val="00BE46BC"/>
    <w:rsid w:val="00BF6CD1"/>
    <w:rsid w:val="00C00A34"/>
    <w:rsid w:val="00C01E22"/>
    <w:rsid w:val="00C33D9A"/>
    <w:rsid w:val="00C342B6"/>
    <w:rsid w:val="00C417DD"/>
    <w:rsid w:val="00C425EB"/>
    <w:rsid w:val="00C54BBC"/>
    <w:rsid w:val="00C62E00"/>
    <w:rsid w:val="00C630A8"/>
    <w:rsid w:val="00C666A7"/>
    <w:rsid w:val="00C7072A"/>
    <w:rsid w:val="00C71263"/>
    <w:rsid w:val="00C71852"/>
    <w:rsid w:val="00C742F2"/>
    <w:rsid w:val="00C75DCD"/>
    <w:rsid w:val="00C80F17"/>
    <w:rsid w:val="00C902C6"/>
    <w:rsid w:val="00C92659"/>
    <w:rsid w:val="00C9371C"/>
    <w:rsid w:val="00C96195"/>
    <w:rsid w:val="00C9637C"/>
    <w:rsid w:val="00C97014"/>
    <w:rsid w:val="00CA44A0"/>
    <w:rsid w:val="00CA46D6"/>
    <w:rsid w:val="00CB362A"/>
    <w:rsid w:val="00CC4D12"/>
    <w:rsid w:val="00CC5131"/>
    <w:rsid w:val="00CD2534"/>
    <w:rsid w:val="00CE0B04"/>
    <w:rsid w:val="00CE650A"/>
    <w:rsid w:val="00D176E5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85AC1"/>
    <w:rsid w:val="00D931DE"/>
    <w:rsid w:val="00DA56C7"/>
    <w:rsid w:val="00DA60BC"/>
    <w:rsid w:val="00DB1203"/>
    <w:rsid w:val="00DC339F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540D9"/>
    <w:rsid w:val="00E5683C"/>
    <w:rsid w:val="00E6261F"/>
    <w:rsid w:val="00E80997"/>
    <w:rsid w:val="00E8224F"/>
    <w:rsid w:val="00E82A8E"/>
    <w:rsid w:val="00E90171"/>
    <w:rsid w:val="00E90F2A"/>
    <w:rsid w:val="00EB18B1"/>
    <w:rsid w:val="00EB7C82"/>
    <w:rsid w:val="00EC05DE"/>
    <w:rsid w:val="00EC2124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F0FC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DE2685-D263-4D09-8ED4-1487A448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6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Elio Artuso</cp:lastModifiedBy>
  <cp:revision>13</cp:revision>
  <dcterms:created xsi:type="dcterms:W3CDTF">2015-10-02T06:15:00Z</dcterms:created>
  <dcterms:modified xsi:type="dcterms:W3CDTF">2020-05-25T12:33:00Z</dcterms:modified>
</cp:coreProperties>
</file>